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1904C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904C7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_____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решения о предварительном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согласовании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Руднянский район Смоленской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Голынковского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Руднянского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="00FB0139" w:rsidRPr="004976FD">
        <w:rPr>
          <w:rFonts w:ascii="Times New Roman" w:hAnsi="Times New Roman"/>
          <w:b w:val="0"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«____»_______2017 г.№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6FD">
        <w:rPr>
          <w:rFonts w:ascii="Times New Roman" w:hAnsi="Times New Roman"/>
          <w:b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>
        <w:rPr>
          <w:rFonts w:ascii="Times New Roman" w:hAnsi="Times New Roman"/>
          <w:b/>
          <w:sz w:val="28"/>
          <w:szCs w:val="28"/>
        </w:rPr>
        <w:t>кого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4A4909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>г.Рудня, ул.Киреева,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Перерыв:</w:t>
      </w:r>
      <w:r>
        <w:rPr>
          <w:rStyle w:val="FontStyle39"/>
          <w:sz w:val="28"/>
          <w:szCs w:val="28"/>
        </w:rPr>
        <w:t>с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5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31" w:rsidRDefault="001D183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1D1831" w:rsidRDefault="001D183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D50E8A"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7F5130">
        <w:rPr>
          <w:rFonts w:ascii="Times New Roman" w:hAnsi="Times New Roman"/>
          <w:sz w:val="28"/>
          <w:szCs w:val="28"/>
        </w:rPr>
        <w:t xml:space="preserve"> </w:t>
      </w:r>
      <w:r w:rsidR="007F5130" w:rsidRPr="00B5621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>Совета депутатов 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 от 24.09.20100 № 369 «Об утверждении Генерального плана и Правил землепользования и застройки </w:t>
      </w:r>
      <w:r w:rsidRPr="00AB50F8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Казимировского сельского поселения Руднянского района Смоленской области от 09.08.2011 года № 40 «Об утверждении Генерального плана МО Казимировского сельского поселения и Правил землепользования и застройки Казимировского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Кляриновского сельского поселения Руднянского района Смоленской области от 17.08.2011 года № 53 «Об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Кругловского сельского поселения Руднянского района Смоленской области от 17.08.2011 года № 52 «Об утверждении Генерального плана и Правил землепользования и застройки  Кругловского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Любавичского сельского поселения Руднянского района Смоленской области от 19.08.2011 года № 26/1 «Об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Переволочского сельского поселения Руднянского района Смоленской области от 16.09.2011 года № 54 «Об утверждении Генерального плана МО Переволочского сельского поселения и Правил землепользования и застройки Переволочского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Понизовского сельского поселения Руднянского района Смоленской области от 05.08.2011 года № 63 «Об утверждении Генерального плана 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Смолиговского сельского поселения Руднянского района Смоленской области от 05.08.2011 года № 39 «Об утверждении Генерального плана  МО Смолиговского сельского поселения и Правил землепользования и застройки Смолиговского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Чистиковского сельского поселения Руднянского района Смоленской области от 26.08.2011 года № 54 «Об утверждении Генерального плана  Чистиковского сельского поселения и Правил землепользования и застройки Чистиковского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>. 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"/>
      <w:bookmarkEnd w:id="11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39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FE21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0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4.1. Порядок осуществления текущего контроля за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r w:rsidRPr="00E054CF">
        <w:rPr>
          <w:rFonts w:ascii="Times New Roman" w:hAnsi="Times New Roman"/>
          <w:sz w:val="28"/>
          <w:szCs w:val="28"/>
          <w:u w:val="single"/>
        </w:rPr>
        <w:t>рудня.рф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ю,(далее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Смоленской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Голынковского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Руднянского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1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92EE7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192E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D50E8A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Pr="00192EE7">
        <w:rPr>
          <w:rFonts w:ascii="Times New Roman" w:hAnsi="Times New Roman" w:cs="Times New Roman"/>
          <w:sz w:val="24"/>
          <w:szCs w:val="24"/>
        </w:rPr>
        <w:t>«</w:t>
      </w:r>
      <w:r w:rsidR="00791EF8" w:rsidRPr="00192EE7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="00192EE7"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Смоленской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Голынковского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Руднянского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Pr="00192EE7" w:rsidRDefault="00D50E8A" w:rsidP="00192EE7">
      <w:pPr>
        <w:pStyle w:val="ConsPlusNormal"/>
        <w:tabs>
          <w:tab w:val="left" w:pos="709"/>
        </w:tabs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E723F3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1D1831" w:rsidRPr="00E723F3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D6F45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1D1831" w:rsidRDefault="001D1831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1D1831" w:rsidRPr="00ED6F45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1D1831" w:rsidRDefault="001D1831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EF8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EF8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1D1831" w:rsidRPr="00CA1D3B" w:rsidRDefault="001D1831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Pr="00A05D3A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1D1831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Pr="00A05D3A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B75B7" w:rsidRDefault="001D1831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1D1831" w:rsidRPr="00CB75B7" w:rsidRDefault="001D1831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A05D3A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A05D3A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0" w:rsidRDefault="00FE21D0" w:rsidP="00D50E8A">
      <w:pPr>
        <w:spacing w:after="0" w:line="240" w:lineRule="auto"/>
      </w:pPr>
      <w:r>
        <w:separator/>
      </w:r>
    </w:p>
  </w:endnote>
  <w:endnote w:type="continuationSeparator" w:id="0">
    <w:p w:rsidR="00FE21D0" w:rsidRDefault="00FE21D0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0" w:rsidRDefault="00FE21D0" w:rsidP="00D50E8A">
      <w:pPr>
        <w:spacing w:after="0" w:line="240" w:lineRule="auto"/>
      </w:pPr>
      <w:r>
        <w:separator/>
      </w:r>
    </w:p>
  </w:footnote>
  <w:footnote w:type="continuationSeparator" w:id="0">
    <w:p w:rsidR="00FE21D0" w:rsidRDefault="00FE21D0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D1831" w:rsidRDefault="001D1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FD">
          <w:rPr>
            <w:noProof/>
          </w:rPr>
          <w:t>36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A1AD2"/>
    <w:rsid w:val="000B7471"/>
    <w:rsid w:val="001106EA"/>
    <w:rsid w:val="001904C7"/>
    <w:rsid w:val="00192EE7"/>
    <w:rsid w:val="001A2DFD"/>
    <w:rsid w:val="001D1831"/>
    <w:rsid w:val="00201ACF"/>
    <w:rsid w:val="00237116"/>
    <w:rsid w:val="00253A5E"/>
    <w:rsid w:val="00294371"/>
    <w:rsid w:val="002A6421"/>
    <w:rsid w:val="002A76A8"/>
    <w:rsid w:val="002D2EEC"/>
    <w:rsid w:val="002D6EF8"/>
    <w:rsid w:val="002E15A3"/>
    <w:rsid w:val="00351A33"/>
    <w:rsid w:val="00362139"/>
    <w:rsid w:val="00383115"/>
    <w:rsid w:val="003B4EC9"/>
    <w:rsid w:val="003D636E"/>
    <w:rsid w:val="003E5616"/>
    <w:rsid w:val="003F3F3E"/>
    <w:rsid w:val="004442BB"/>
    <w:rsid w:val="00475A1B"/>
    <w:rsid w:val="004901B9"/>
    <w:rsid w:val="004A4909"/>
    <w:rsid w:val="004F00C9"/>
    <w:rsid w:val="00507D0E"/>
    <w:rsid w:val="0051425B"/>
    <w:rsid w:val="00530CA4"/>
    <w:rsid w:val="00547B9E"/>
    <w:rsid w:val="005900E8"/>
    <w:rsid w:val="005E3925"/>
    <w:rsid w:val="005F5D3E"/>
    <w:rsid w:val="00617E44"/>
    <w:rsid w:val="00676F75"/>
    <w:rsid w:val="006C4F73"/>
    <w:rsid w:val="006D6151"/>
    <w:rsid w:val="006F1016"/>
    <w:rsid w:val="006F50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55228"/>
    <w:rsid w:val="00976374"/>
    <w:rsid w:val="009764BD"/>
    <w:rsid w:val="009B3F9C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C07D08"/>
    <w:rsid w:val="00C26148"/>
    <w:rsid w:val="00C43139"/>
    <w:rsid w:val="00C51DD5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consultantplus://offline/ref=1DAB2F2C605C30B720044E11F384C500CD0C7FFB9B6F4068F0BDBAE964BC65F45D47235A90B19C1345F45C26K6hAJ" TargetMode="External"/><Relationship Id="rId39" Type="http://schemas.openxmlformats.org/officeDocument/2006/relationships/hyperlink" Target="consultantplus://offline/ref=EEEC64265E1918E083F1594D5BC9D69D6FF575B3D121B6557E5CCF82D9CB7321C601C24ABCE13588o0Q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D477E494B653DE6381632Y214L" TargetMode="External"/><Relationship Id="rId34" Type="http://schemas.openxmlformats.org/officeDocument/2006/relationships/hyperlink" Target="consultantplus://offline/ref=0A0B6671ECE55C5B65850329E87F004903B08F148D0AE7FEF6BC5F93D3BE1EECBB49A318D8B7K0M" TargetMode="External"/><Relationship Id="rId42" Type="http://schemas.openxmlformats.org/officeDocument/2006/relationships/hyperlink" Target="consultantplus://offline/ref=8A1EE851AE2145AAF24BD0205DBB86EA6F54AAFE9554F54AC60B893F098138A1A1E3EA4EA857640E0CF2C3hAcBI" TargetMode="External"/><Relationship Id="rId47" Type="http://schemas.openxmlformats.org/officeDocument/2006/relationships/hyperlink" Target="consultantplus://offline/ref=7A0A2227F5135567EACBBFC84D65DB6B392BCD617BCE17B42576D4A41A754EFE103F9C1401FA8908158260a2n7I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consultantplus://offline/ref=6439A1BD44B6B8EB6F09ED57D36AE52452AC5C407F484B653DE6381632242E5995CD79DC86Y919L" TargetMode="External"/><Relationship Id="rId33" Type="http://schemas.openxmlformats.org/officeDocument/2006/relationships/hyperlink" Target="consultantplus://offline/ref=0A0B6671ECE55C5B65850329E87F004903B08F148D0AE7FEF6BC5F93D3BE1EECBB49A318D8B7K3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86C9545F8F5B239A0DF12F84AF541AE60843F88663ABC732FCBE51BE28BC1FB91433542807Z1h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0A0B6671ECE55C5B65850329E87F004903B08F148D0AE7FEF6BC5F93D3BE1EECBB49A313DDB7KAM" TargetMode="External"/><Relationship Id="rId41" Type="http://schemas.openxmlformats.org/officeDocument/2006/relationships/hyperlink" Target="consultantplus://offline/ref=2E884B9489E787539BAC135E13468224600DDA7FED0F8E734B8C1BB0C2J5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C407F484B653DE6381632242E5995CD79DD87Y91BL" TargetMode="External"/><Relationship Id="rId32" Type="http://schemas.openxmlformats.org/officeDocument/2006/relationships/hyperlink" Target="consultantplus://offline/ref=0A0B6671ECE55C5B65850329E87F004903B08F148D0AE7FEF6BC5F93D3BE1EECBB49A318D9B7K5M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C8E2257F1F926BD57CEA04F54587AFAA760685F15715A6C98C143C135Dx9T4O" TargetMode="External"/><Relationship Id="rId45" Type="http://schemas.openxmlformats.org/officeDocument/2006/relationships/hyperlink" Target="consultantplus://offline/ref=86C9545F8F5B239A0DF12F84AF541AE60843F88663ABC732FCBE51BE28BC1FB91433542906Z1hE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d_adm@admin-smolensk.ru." TargetMode="External"/><Relationship Id="rId23" Type="http://schemas.openxmlformats.org/officeDocument/2006/relationships/hyperlink" Target="consultantplus://offline/ref=6439A1BD44B6B8EB6F09ED57D36AE52452AC5C407F484B653DE6381632242E5995CD79DD84Y919L" TargetMode="External"/><Relationship Id="rId28" Type="http://schemas.openxmlformats.org/officeDocument/2006/relationships/hyperlink" Target="consultantplus://offline/ref=259990B898B6D6F4B911FA5F5A68DA87D08280C959C9581A8D910A075270C4D9A9598D72B169F22C9DF5E8EBQBz4L" TargetMode="External"/><Relationship Id="rId36" Type="http://schemas.openxmlformats.org/officeDocument/2006/relationships/hyperlink" Target="consultantplus://offline/ref=0A0B6671ECE55C5B65850329E87F004903B08E138C0BE7FEF6BC5F93D3BBKE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0A0B6671ECE55C5B65850329E87F004903B08F148D0AE7FEF6BC5F93D3BE1EECBB49A318D9B7K7M" TargetMode="External"/><Relationship Id="rId44" Type="http://schemas.openxmlformats.org/officeDocument/2006/relationships/hyperlink" Target="consultantplus://offline/ref=86C9545F8F5B239A0DF12F84AF541AE60843F88663ABC732FCBE51BE28BC1FB91433542905Z1h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6439A1BD44B6B8EB6F09ED57D36AE52452AC5C407F484B653DE6381632242E5995CD79DD82Y919L" TargetMode="External"/><Relationship Id="rId27" Type="http://schemas.openxmlformats.org/officeDocument/2006/relationships/hyperlink" Target="consultantplus://offline/ref=1DAB2F2C605C30B720044E11F384C500CD0C7FFB9B6F4068F0BDBAE964BC65F45D47235A90B19C1345F45C26K6hCJ" TargetMode="External"/><Relationship Id="rId30" Type="http://schemas.openxmlformats.org/officeDocument/2006/relationships/hyperlink" Target="consultantplus://offline/ref=0A0B6671ECE55C5B65850329E87F004903B08F148D0AE7FEF6BC5F93D3BE1EECBB49A318DAB7K1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86C9545F8F5B239A0DF12F84AF541AE60843F88663ABC732FCBE51BE28BC1FB91433542903Z1hCI" TargetMode="External"/><Relationship Id="rId48" Type="http://schemas.openxmlformats.org/officeDocument/2006/relationships/hyperlink" Target="consultantplus://offline/ref=1D09BA5EDD1E646CAA3DBF1CF00F91D6980AB708DA17BA711648D6AE41WE2E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0682-B2F6-40B4-B7AD-6E44975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13337</Words>
  <Characters>76023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2017-06-14T13:13:00Z</cp:lastPrinted>
  <dcterms:created xsi:type="dcterms:W3CDTF">2017-07-19T06:51:00Z</dcterms:created>
  <dcterms:modified xsi:type="dcterms:W3CDTF">2017-07-19T06:51:00Z</dcterms:modified>
</cp:coreProperties>
</file>